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9471" w14:textId="70FA2E44" w:rsidR="00B7520B" w:rsidRPr="00B7520B" w:rsidRDefault="00B7520B" w:rsidP="00B7520B">
      <w:pPr>
        <w:shd w:val="clear" w:color="auto" w:fill="FFFFFF"/>
        <w:spacing w:after="0" w:line="360" w:lineRule="auto"/>
        <w:jc w:val="center"/>
        <w:rPr>
          <w:rFonts w:eastAsia="Times New Roman" w:cs="Times New Roman"/>
          <w:szCs w:val="24"/>
          <w:lang w:eastAsia="es-CO"/>
        </w:rPr>
      </w:pPr>
      <w:r w:rsidRPr="00B7520B">
        <w:rPr>
          <w:rFonts w:eastAsia="Times New Roman" w:cs="Times New Roman"/>
          <w:b/>
          <w:bCs/>
          <w:szCs w:val="24"/>
          <w:lang w:eastAsia="es-CO"/>
        </w:rPr>
        <w:t xml:space="preserve">OFICIO </w:t>
      </w:r>
      <w:proofErr w:type="spellStart"/>
      <w:r w:rsidRPr="00B7520B">
        <w:rPr>
          <w:rFonts w:eastAsia="Times New Roman" w:cs="Times New Roman"/>
          <w:b/>
          <w:bCs/>
          <w:szCs w:val="24"/>
          <w:lang w:eastAsia="es-CO"/>
        </w:rPr>
        <w:t>Nº</w:t>
      </w:r>
      <w:proofErr w:type="spellEnd"/>
      <w:r w:rsidRPr="00B7520B">
        <w:rPr>
          <w:rFonts w:eastAsia="Times New Roman" w:cs="Times New Roman"/>
          <w:b/>
          <w:bCs/>
          <w:szCs w:val="24"/>
          <w:lang w:eastAsia="es-CO"/>
        </w:rPr>
        <w:t xml:space="preserve"> 854</w:t>
      </w:r>
      <w:r w:rsidRPr="00B7520B">
        <w:rPr>
          <w:rFonts w:eastAsia="Times New Roman" w:cs="Times New Roman"/>
          <w:b/>
          <w:bCs/>
          <w:szCs w:val="24"/>
          <w:lang w:eastAsia="es-CO"/>
        </w:rPr>
        <w:t xml:space="preserve"> </w:t>
      </w:r>
      <w:r w:rsidRPr="00B7520B">
        <w:rPr>
          <w:rFonts w:eastAsia="Times New Roman" w:cs="Times New Roman"/>
          <w:b/>
          <w:bCs/>
          <w:szCs w:val="24"/>
          <w:lang w:eastAsia="es-CO"/>
        </w:rPr>
        <w:t>(905159)</w:t>
      </w:r>
    </w:p>
    <w:p w14:paraId="1BDF9D60" w14:textId="77777777" w:rsidR="00B7520B" w:rsidRPr="00B7520B" w:rsidRDefault="00B7520B" w:rsidP="00B7520B">
      <w:pPr>
        <w:shd w:val="clear" w:color="auto" w:fill="FFFFFF"/>
        <w:spacing w:after="150" w:line="360" w:lineRule="auto"/>
        <w:jc w:val="center"/>
        <w:rPr>
          <w:rFonts w:eastAsia="Times New Roman" w:cs="Times New Roman"/>
          <w:szCs w:val="24"/>
          <w:lang w:eastAsia="es-CO"/>
        </w:rPr>
      </w:pPr>
      <w:r w:rsidRPr="00B7520B">
        <w:rPr>
          <w:rFonts w:eastAsia="Times New Roman" w:cs="Times New Roman"/>
          <w:b/>
          <w:bCs/>
          <w:szCs w:val="24"/>
          <w:lang w:eastAsia="es-CO"/>
        </w:rPr>
        <w:t>05-07-2022</w:t>
      </w:r>
      <w:r w:rsidRPr="00B7520B">
        <w:rPr>
          <w:rFonts w:eastAsia="Times New Roman" w:cs="Times New Roman"/>
          <w:szCs w:val="24"/>
          <w:lang w:eastAsia="es-CO"/>
        </w:rPr>
        <w:br/>
      </w:r>
      <w:r w:rsidRPr="00B7520B">
        <w:rPr>
          <w:rFonts w:eastAsia="Times New Roman" w:cs="Times New Roman"/>
          <w:b/>
          <w:bCs/>
          <w:szCs w:val="24"/>
          <w:lang w:eastAsia="es-CO"/>
        </w:rPr>
        <w:t>DIAN</w:t>
      </w:r>
    </w:p>
    <w:p w14:paraId="6CA53C0C"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19FD7FD7"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2D1E08BD"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Subdirección de Normativa y Doctrina</w:t>
      </w:r>
    </w:p>
    <w:p w14:paraId="744205E3"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100208192-854</w:t>
      </w:r>
    </w:p>
    <w:p w14:paraId="23E8BD64"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Bogotá, D.C.</w:t>
      </w:r>
    </w:p>
    <w:p w14:paraId="32B67CC5"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1DDD6A6F"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b/>
          <w:bCs/>
          <w:szCs w:val="24"/>
          <w:lang w:eastAsia="es-CO"/>
        </w:rPr>
        <w:t>Tema: </w:t>
      </w:r>
      <w:r w:rsidRPr="00B7520B">
        <w:rPr>
          <w:rFonts w:eastAsia="Times New Roman" w:cs="Times New Roman"/>
          <w:szCs w:val="24"/>
          <w:lang w:eastAsia="es-CO"/>
        </w:rPr>
        <w:t>Procedimiento tributario</w:t>
      </w:r>
    </w:p>
    <w:p w14:paraId="5248E822"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b/>
          <w:bCs/>
          <w:szCs w:val="24"/>
          <w:lang w:eastAsia="es-CO"/>
        </w:rPr>
        <w:t>Descriptores:</w:t>
      </w:r>
      <w:r w:rsidRPr="00B7520B">
        <w:rPr>
          <w:rFonts w:eastAsia="Times New Roman" w:cs="Times New Roman"/>
          <w:szCs w:val="24"/>
          <w:lang w:eastAsia="es-CO"/>
        </w:rPr>
        <w:t> Registro Único de Beneficiarios Finales - RUB</w:t>
      </w:r>
    </w:p>
    <w:p w14:paraId="51FE48F3"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b/>
          <w:bCs/>
          <w:szCs w:val="24"/>
          <w:lang w:eastAsia="es-CO"/>
        </w:rPr>
        <w:t>Fuentes formales:</w:t>
      </w:r>
      <w:r w:rsidRPr="00B7520B">
        <w:rPr>
          <w:rFonts w:eastAsia="Times New Roman" w:cs="Times New Roman"/>
          <w:szCs w:val="24"/>
          <w:lang w:eastAsia="es-CO"/>
        </w:rPr>
        <w:t> Resolución DIAN No. 000164 de 2021 Cordial saludo,</w:t>
      </w:r>
    </w:p>
    <w:p w14:paraId="234181FF"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2324E6CF"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59B75E80"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6AB14364"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Mediante el radicado de la referencia y, teniendo en cuenta lo dispuesto por la Resolución DIAN No. 000164 de 2021, el peticionario presenta las inquietudes que a continuación se enuncian y se responden, para lo cual se reitera que a esta Subdirección no le corresponde pronunciarse sobre situaciones de carácter particular ni prestar asesoría específica, por lo que corresponderá al peticionario definir, en su caso puntual, las obligaciones tributarias sustanciales y formales a las que haya lugar.</w:t>
      </w:r>
    </w:p>
    <w:p w14:paraId="2D734CF0"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3B5B6576" w14:textId="77777777" w:rsidR="00B7520B" w:rsidRPr="00B7520B" w:rsidRDefault="00B7520B" w:rsidP="00B7520B">
      <w:pPr>
        <w:shd w:val="clear" w:color="auto" w:fill="FFFFFF"/>
        <w:spacing w:after="0" w:line="360" w:lineRule="auto"/>
        <w:ind w:left="284"/>
        <w:jc w:val="both"/>
        <w:rPr>
          <w:rFonts w:eastAsia="Times New Roman" w:cs="Times New Roman"/>
          <w:szCs w:val="24"/>
          <w:lang w:eastAsia="es-CO"/>
        </w:rPr>
      </w:pPr>
      <w:r w:rsidRPr="00B7520B">
        <w:rPr>
          <w:rFonts w:eastAsia="Times New Roman" w:cs="Times New Roman"/>
          <w:b/>
          <w:bCs/>
          <w:i/>
          <w:iCs/>
          <w:szCs w:val="24"/>
          <w:lang w:eastAsia="es-CO"/>
        </w:rPr>
        <w:t>1. “¿Cómo se debe realizar el reporte de los beneficiarios finales de una sociedad colombiana que es controlada en su totalidad (100%) por una compañía domiciliada en Estados Unidos de América, la cual cotiza sus acciones en bolsa? Ello, en la medida en que los criterios de determinación dispuestos en los numerales 1 y 2 del artículo 6° de la Resolución 164 de 2021 no son fácilmente identificables para la sociedad filial colombiana obligada a realizar el reporte”</w:t>
      </w:r>
    </w:p>
    <w:p w14:paraId="3C502447"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b/>
          <w:bCs/>
          <w:i/>
          <w:iCs/>
          <w:szCs w:val="24"/>
          <w:lang w:eastAsia="es-CO"/>
        </w:rPr>
        <w:t> </w:t>
      </w:r>
    </w:p>
    <w:p w14:paraId="698C8B69"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xml:space="preserve">Sobre el particular, se encuentra que la Resolución DIAN No. 000164 de 2021 no establece ninguna excepción expresa respecto del suministro de información de accionistas (de sociedades nacionales) que coticen en bolsas de valores. Por lo tanto, en dicho supuesto deberán aplicarse los </w:t>
      </w:r>
      <w:r w:rsidRPr="00B7520B">
        <w:rPr>
          <w:rFonts w:eastAsia="Times New Roman" w:cs="Times New Roman"/>
          <w:szCs w:val="24"/>
          <w:lang w:eastAsia="es-CO"/>
        </w:rPr>
        <w:lastRenderedPageBreak/>
        <w:t>criterios generales para determinar los beneficiarios finales de la sociedad obligada a reportar en el RUB.</w:t>
      </w:r>
    </w:p>
    <w:p w14:paraId="4FCD3042"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0DC12A26"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Ahora bien, en caso de que no se tenga conocimiento de uno o más beneficiarios finales deberá observarse lo dispuesto en el tercer inciso del artículo 17 de la Resolución citada, esto es, deberá dejarse constancia de los documentos e información que sustente el cumplimiento del deber de debida diligencia y al momento de suministrar la información en el RUB poner de presente que no fue posible identificar la totalidad de los beneficiarios finales junto con los motivos por los cuales no fue posible identificarlos.</w:t>
      </w:r>
    </w:p>
    <w:p w14:paraId="467AA2EF"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69C98E54" w14:textId="77777777" w:rsidR="00B7520B" w:rsidRPr="00B7520B" w:rsidRDefault="00B7520B" w:rsidP="00B7520B">
      <w:pPr>
        <w:shd w:val="clear" w:color="auto" w:fill="FFFFFF"/>
        <w:spacing w:after="0" w:line="360" w:lineRule="auto"/>
        <w:ind w:left="284"/>
        <w:jc w:val="both"/>
        <w:rPr>
          <w:rFonts w:eastAsia="Times New Roman" w:cs="Times New Roman"/>
          <w:szCs w:val="24"/>
          <w:lang w:eastAsia="es-CO"/>
        </w:rPr>
      </w:pPr>
      <w:r w:rsidRPr="00B7520B">
        <w:rPr>
          <w:rFonts w:eastAsia="Times New Roman" w:cs="Times New Roman"/>
          <w:b/>
          <w:bCs/>
          <w:i/>
          <w:iCs/>
          <w:szCs w:val="24"/>
          <w:lang w:eastAsia="es-CO"/>
        </w:rPr>
        <w:t>2. “Partiendo de lo anterior y ante la dificultad de obtener información del beneficiario final en este caso, en el que una sociedad colombiana es controlada en su totalidad (100%) por una compañía domiciliada en Estados Unidos de América que cotiza en bolsa, ¿se entendería entonces que se debe registrar como beneficiario final de la sociedad colombiana, al representante legal de la sociedad estadounidense?”</w:t>
      </w:r>
    </w:p>
    <w:p w14:paraId="74660EBE"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b/>
          <w:bCs/>
          <w:i/>
          <w:iCs/>
          <w:szCs w:val="24"/>
          <w:lang w:eastAsia="es-CO"/>
        </w:rPr>
        <w:t> </w:t>
      </w:r>
    </w:p>
    <w:p w14:paraId="0A509440"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xml:space="preserve">Al respecto, nos permitimos reiterar que, de conformidad con lo dispuesto por el Decreto No. 1742 de 2020, las competencias de este Despacho se limitan a la </w:t>
      </w:r>
      <w:proofErr w:type="spellStart"/>
      <w:r w:rsidRPr="00B7520B">
        <w:rPr>
          <w:rFonts w:eastAsia="Times New Roman" w:cs="Times New Roman"/>
          <w:szCs w:val="24"/>
          <w:lang w:eastAsia="es-CO"/>
        </w:rPr>
        <w:t>interpetación</w:t>
      </w:r>
      <w:proofErr w:type="spellEnd"/>
      <w:r w:rsidRPr="00B7520B">
        <w:rPr>
          <w:rFonts w:eastAsia="Times New Roman" w:cs="Times New Roman"/>
          <w:szCs w:val="24"/>
          <w:lang w:eastAsia="es-CO"/>
        </w:rPr>
        <w:t xml:space="preserve"> (sic) de normas en materia tributaria dentro del marco de competencias de la DIAN. Por lo tanto, este Despacho no se encuentra facultado para atender consultas respecto a la resolución de casos particulares.</w:t>
      </w:r>
    </w:p>
    <w:p w14:paraId="50540D3A"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438C49D4"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Así, teniendo en cuenta lo indicado en la respuesta anterior, le corresponderá a cada sujeto obligado suministrar la información en el RUB y determinar sus beneficiarios finales según lo establecido en el artículo 6 de la Resolución DIAN No. 000164 de 2021 y demás disposiciones aplicables.</w:t>
      </w:r>
    </w:p>
    <w:p w14:paraId="77F92919"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2CAA912E"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Ahora, es importante mencionar que el numeral 3 del artículo 6 de la Resolución DIAN No. 000164 de 2021 indica:</w:t>
      </w:r>
    </w:p>
    <w:p w14:paraId="2690572C"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0A6CF513" w14:textId="77777777" w:rsidR="00B7520B" w:rsidRPr="00B7520B" w:rsidRDefault="00B7520B" w:rsidP="00B7520B">
      <w:pPr>
        <w:shd w:val="clear" w:color="auto" w:fill="FFFFFF"/>
        <w:spacing w:after="0" w:line="360" w:lineRule="auto"/>
        <w:ind w:left="284"/>
        <w:jc w:val="both"/>
        <w:rPr>
          <w:rFonts w:eastAsia="Times New Roman" w:cs="Times New Roman"/>
          <w:szCs w:val="24"/>
          <w:lang w:eastAsia="es-CO"/>
        </w:rPr>
      </w:pPr>
      <w:r w:rsidRPr="00B7520B">
        <w:rPr>
          <w:rFonts w:eastAsia="Times New Roman" w:cs="Times New Roman"/>
          <w:i/>
          <w:iCs/>
          <w:szCs w:val="24"/>
          <w:lang w:eastAsia="es-CO"/>
        </w:rPr>
        <w:t>“</w:t>
      </w:r>
      <w:r w:rsidRPr="00B7520B">
        <w:rPr>
          <w:rFonts w:eastAsia="Times New Roman" w:cs="Times New Roman"/>
          <w:b/>
          <w:bCs/>
          <w:i/>
          <w:iCs/>
          <w:szCs w:val="24"/>
          <w:lang w:eastAsia="es-CO"/>
        </w:rPr>
        <w:t>ARTÍCULO 6. Criterios para la determinación del beneficiario final de las personas jurídicas. </w:t>
      </w:r>
      <w:r w:rsidRPr="00B7520B">
        <w:rPr>
          <w:rFonts w:eastAsia="Times New Roman" w:cs="Times New Roman"/>
          <w:szCs w:val="24"/>
          <w:lang w:eastAsia="es-CO"/>
        </w:rPr>
        <w:t>De acuerdo con la definición establecida en el literal a) del artículo 631-5 del Estatuto Tributario, son beneficiarios finales de las personas jurídicas:</w:t>
      </w:r>
    </w:p>
    <w:p w14:paraId="11029553" w14:textId="77777777" w:rsidR="00B7520B" w:rsidRPr="00B7520B" w:rsidRDefault="00B7520B" w:rsidP="00B7520B">
      <w:pPr>
        <w:shd w:val="clear" w:color="auto" w:fill="FFFFFF"/>
        <w:spacing w:after="0" w:line="360" w:lineRule="auto"/>
        <w:ind w:left="284"/>
        <w:jc w:val="both"/>
        <w:rPr>
          <w:rFonts w:eastAsia="Times New Roman" w:cs="Times New Roman"/>
          <w:szCs w:val="24"/>
          <w:lang w:eastAsia="es-CO"/>
        </w:rPr>
      </w:pPr>
      <w:r w:rsidRPr="00B7520B">
        <w:rPr>
          <w:rFonts w:eastAsia="Times New Roman" w:cs="Times New Roman"/>
          <w:i/>
          <w:iCs/>
          <w:szCs w:val="24"/>
          <w:lang w:eastAsia="es-CO"/>
        </w:rPr>
        <w:t> </w:t>
      </w:r>
    </w:p>
    <w:p w14:paraId="2B274634" w14:textId="77777777" w:rsidR="00B7520B" w:rsidRPr="00B7520B" w:rsidRDefault="00B7520B" w:rsidP="00B7520B">
      <w:pPr>
        <w:shd w:val="clear" w:color="auto" w:fill="FFFFFF"/>
        <w:spacing w:after="0" w:line="360" w:lineRule="auto"/>
        <w:ind w:left="284"/>
        <w:jc w:val="both"/>
        <w:rPr>
          <w:rFonts w:eastAsia="Times New Roman" w:cs="Times New Roman"/>
          <w:szCs w:val="24"/>
          <w:lang w:eastAsia="es-CO"/>
        </w:rPr>
      </w:pPr>
      <w:r w:rsidRPr="00B7520B">
        <w:rPr>
          <w:rFonts w:eastAsia="Times New Roman" w:cs="Times New Roman"/>
          <w:i/>
          <w:iCs/>
          <w:szCs w:val="24"/>
          <w:lang w:eastAsia="es-CO"/>
        </w:rPr>
        <w:t>(…)</w:t>
      </w:r>
    </w:p>
    <w:p w14:paraId="1CBD0372" w14:textId="77777777" w:rsidR="00B7520B" w:rsidRPr="00B7520B" w:rsidRDefault="00B7520B" w:rsidP="00B7520B">
      <w:pPr>
        <w:shd w:val="clear" w:color="auto" w:fill="FFFFFF"/>
        <w:spacing w:after="0" w:line="360" w:lineRule="auto"/>
        <w:ind w:left="284"/>
        <w:jc w:val="both"/>
        <w:rPr>
          <w:rFonts w:eastAsia="Times New Roman" w:cs="Times New Roman"/>
          <w:szCs w:val="24"/>
          <w:lang w:eastAsia="es-CO"/>
        </w:rPr>
      </w:pPr>
      <w:r w:rsidRPr="00B7520B">
        <w:rPr>
          <w:rFonts w:eastAsia="Times New Roman" w:cs="Times New Roman"/>
          <w:i/>
          <w:iCs/>
          <w:szCs w:val="24"/>
          <w:lang w:eastAsia="es-CO"/>
        </w:rPr>
        <w:t> </w:t>
      </w:r>
    </w:p>
    <w:p w14:paraId="1A39FBFE" w14:textId="77777777" w:rsidR="00B7520B" w:rsidRPr="00B7520B" w:rsidRDefault="00B7520B" w:rsidP="00B7520B">
      <w:pPr>
        <w:shd w:val="clear" w:color="auto" w:fill="FFFFFF"/>
        <w:spacing w:after="0" w:line="360" w:lineRule="auto"/>
        <w:ind w:left="284"/>
        <w:jc w:val="both"/>
        <w:rPr>
          <w:rFonts w:eastAsia="Times New Roman" w:cs="Times New Roman"/>
          <w:szCs w:val="24"/>
          <w:lang w:eastAsia="es-CO"/>
        </w:rPr>
      </w:pPr>
      <w:r w:rsidRPr="00B7520B">
        <w:rPr>
          <w:rFonts w:eastAsia="Times New Roman" w:cs="Times New Roman"/>
          <w:i/>
          <w:iCs/>
          <w:szCs w:val="24"/>
          <w:lang w:eastAsia="es-CO"/>
        </w:rPr>
        <w:t>3. </w:t>
      </w:r>
      <w:r w:rsidRPr="00B7520B">
        <w:rPr>
          <w:rFonts w:eastAsia="Times New Roman" w:cs="Times New Roman"/>
          <w:i/>
          <w:iCs/>
          <w:szCs w:val="24"/>
          <w:u w:val="single"/>
          <w:lang w:eastAsia="es-CO"/>
        </w:rPr>
        <w:t>Cuando no se identifique ningún beneficiario final bajo los criterios señalados en los</w:t>
      </w:r>
      <w:r w:rsidRPr="00B7520B">
        <w:rPr>
          <w:rFonts w:eastAsia="Times New Roman" w:cs="Times New Roman"/>
          <w:i/>
          <w:iCs/>
          <w:szCs w:val="24"/>
          <w:lang w:eastAsia="es-CO"/>
        </w:rPr>
        <w:t> </w:t>
      </w:r>
      <w:r w:rsidRPr="00B7520B">
        <w:rPr>
          <w:rFonts w:eastAsia="Times New Roman" w:cs="Times New Roman"/>
          <w:i/>
          <w:iCs/>
          <w:szCs w:val="24"/>
          <w:u w:val="single"/>
          <w:lang w:eastAsia="es-CO"/>
        </w:rPr>
        <w:t>numerales 1 y 2 del presente artículo</w:t>
      </w:r>
      <w:r w:rsidRPr="00B7520B">
        <w:rPr>
          <w:rFonts w:eastAsia="Times New Roman" w:cs="Times New Roman"/>
          <w:i/>
          <w:iCs/>
          <w:szCs w:val="24"/>
          <w:lang w:eastAsia="es-CO"/>
        </w:rPr>
        <w:t>, se considerará como beneficiario final a la </w:t>
      </w:r>
      <w:r w:rsidRPr="00B7520B">
        <w:rPr>
          <w:rFonts w:eastAsia="Times New Roman" w:cs="Times New Roman"/>
          <w:i/>
          <w:iCs/>
          <w:szCs w:val="24"/>
          <w:u w:val="single"/>
          <w:lang w:eastAsia="es-CO"/>
        </w:rPr>
        <w:t>persona</w:t>
      </w:r>
      <w:r w:rsidRPr="00B7520B">
        <w:rPr>
          <w:rFonts w:eastAsia="Times New Roman" w:cs="Times New Roman"/>
          <w:i/>
          <w:iCs/>
          <w:szCs w:val="24"/>
          <w:lang w:eastAsia="es-CO"/>
        </w:rPr>
        <w:t> </w:t>
      </w:r>
      <w:r w:rsidRPr="00B7520B">
        <w:rPr>
          <w:rFonts w:eastAsia="Times New Roman" w:cs="Times New Roman"/>
          <w:i/>
          <w:iCs/>
          <w:szCs w:val="24"/>
          <w:u w:val="single"/>
          <w:lang w:eastAsia="es-CO"/>
        </w:rPr>
        <w:t>natural que ostente el cargo de representante legal, </w:t>
      </w:r>
      <w:r w:rsidRPr="00B7520B">
        <w:rPr>
          <w:rFonts w:eastAsia="Times New Roman" w:cs="Times New Roman"/>
          <w:b/>
          <w:bCs/>
          <w:i/>
          <w:iCs/>
          <w:szCs w:val="24"/>
          <w:u w:val="single"/>
          <w:lang w:eastAsia="es-CO"/>
        </w:rPr>
        <w:t>salvo que exista una persona natural</w:t>
      </w:r>
      <w:r w:rsidRPr="00B7520B">
        <w:rPr>
          <w:rFonts w:eastAsia="Times New Roman" w:cs="Times New Roman"/>
          <w:b/>
          <w:bCs/>
          <w:i/>
          <w:iCs/>
          <w:szCs w:val="24"/>
          <w:lang w:eastAsia="es-CO"/>
        </w:rPr>
        <w:t> </w:t>
      </w:r>
      <w:r w:rsidRPr="00B7520B">
        <w:rPr>
          <w:rFonts w:eastAsia="Times New Roman" w:cs="Times New Roman"/>
          <w:b/>
          <w:bCs/>
          <w:i/>
          <w:iCs/>
          <w:szCs w:val="24"/>
          <w:u w:val="single"/>
          <w:lang w:eastAsia="es-CO"/>
        </w:rPr>
        <w:t>que ostente una mayor autoridad </w:t>
      </w:r>
      <w:r w:rsidRPr="00B7520B">
        <w:rPr>
          <w:rFonts w:eastAsia="Times New Roman" w:cs="Times New Roman"/>
          <w:i/>
          <w:iCs/>
          <w:szCs w:val="24"/>
          <w:u w:val="single"/>
          <w:lang w:eastAsia="es-CO"/>
        </w:rPr>
        <w:t>en relación con las funciones de gestión o dirección de</w:t>
      </w:r>
      <w:r w:rsidRPr="00B7520B">
        <w:rPr>
          <w:rFonts w:eastAsia="Times New Roman" w:cs="Times New Roman"/>
          <w:i/>
          <w:iCs/>
          <w:szCs w:val="24"/>
          <w:lang w:eastAsia="es-CO"/>
        </w:rPr>
        <w:t> </w:t>
      </w:r>
      <w:r w:rsidRPr="00B7520B">
        <w:rPr>
          <w:rFonts w:eastAsia="Times New Roman" w:cs="Times New Roman"/>
          <w:i/>
          <w:iCs/>
          <w:szCs w:val="24"/>
          <w:u w:val="single"/>
          <w:lang w:eastAsia="es-CO"/>
        </w:rPr>
        <w:t>la persona jurídica, en cuyo caso se deberá reportar a esta última persona natural</w:t>
      </w:r>
      <w:r w:rsidRPr="00B7520B">
        <w:rPr>
          <w:rFonts w:eastAsia="Times New Roman" w:cs="Times New Roman"/>
          <w:i/>
          <w:iCs/>
          <w:szCs w:val="24"/>
          <w:lang w:eastAsia="es-CO"/>
        </w:rPr>
        <w:t>”. </w:t>
      </w:r>
      <w:r w:rsidRPr="00B7520B">
        <w:rPr>
          <w:rFonts w:eastAsia="Times New Roman" w:cs="Times New Roman"/>
          <w:szCs w:val="24"/>
          <w:lang w:eastAsia="es-CO"/>
        </w:rPr>
        <w:t>(Subrayado y negrilla fuera de texto)</w:t>
      </w:r>
    </w:p>
    <w:p w14:paraId="3D84EF01"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lastRenderedPageBreak/>
        <w:t> </w:t>
      </w:r>
    </w:p>
    <w:p w14:paraId="2FD1C7E4"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De conformidad con lo anterior, en caso de no identificarse beneficiarios finales bajo los criterios de titularidad, beneficio o control establecidos en los numerales 1 y 2 del mencionado artículo, deberá reportarse como beneficiario final a la persona natural que ostente el cargo de representante legal de la persona jurídica obligada a reportar.</w:t>
      </w:r>
    </w:p>
    <w:p w14:paraId="1DEE3718"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56C44F36"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Ahora bien, en caso de existir una persona natural que ostente una mayor autoridad respecto al representante legal, en relación con las funciones de gestión o dirección de la persona jurídica, deberá reportarse a esta como beneficiario final de la persona jurídica, reiterando que se reportaría siempre y cuando no se identifiquen beneficiarios finales por los demás criterios.</w:t>
      </w:r>
    </w:p>
    <w:p w14:paraId="441FAD00"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0E3C9F70" w14:textId="77777777" w:rsidR="00B7520B" w:rsidRPr="00B7520B" w:rsidRDefault="00B7520B" w:rsidP="00B7520B">
      <w:pPr>
        <w:shd w:val="clear" w:color="auto" w:fill="FFFFFF"/>
        <w:spacing w:after="0" w:line="360" w:lineRule="auto"/>
        <w:ind w:left="284"/>
        <w:jc w:val="both"/>
        <w:rPr>
          <w:rFonts w:eastAsia="Times New Roman" w:cs="Times New Roman"/>
          <w:szCs w:val="24"/>
          <w:lang w:eastAsia="es-CO"/>
        </w:rPr>
      </w:pPr>
      <w:r w:rsidRPr="00B7520B">
        <w:rPr>
          <w:rFonts w:eastAsia="Times New Roman" w:cs="Times New Roman"/>
          <w:b/>
          <w:bCs/>
          <w:i/>
          <w:iCs/>
          <w:szCs w:val="24"/>
          <w:lang w:eastAsia="es-CO"/>
        </w:rPr>
        <w:t>3. “¿Con respecto al registro del representante legal como supuesto ultimo de registro, al pretender la norma buscar al beneficiario final, el representante legal que habría que registrar, sería el de la sociedad controlante?”</w:t>
      </w:r>
    </w:p>
    <w:p w14:paraId="46BD3546"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b/>
          <w:bCs/>
          <w:i/>
          <w:iCs/>
          <w:szCs w:val="24"/>
          <w:lang w:eastAsia="es-CO"/>
        </w:rPr>
        <w:t> </w:t>
      </w:r>
    </w:p>
    <w:p w14:paraId="63B19100"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Por favor remítase a la respuesta anterior.</w:t>
      </w:r>
    </w:p>
    <w:p w14:paraId="2E148D49"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657CECA7" w14:textId="77777777" w:rsidR="00B7520B" w:rsidRPr="00B7520B" w:rsidRDefault="00B7520B" w:rsidP="00B7520B">
      <w:pPr>
        <w:shd w:val="clear" w:color="auto" w:fill="FFFFFF"/>
        <w:spacing w:after="0" w:line="360" w:lineRule="auto"/>
        <w:ind w:left="284"/>
        <w:jc w:val="both"/>
        <w:rPr>
          <w:rFonts w:eastAsia="Times New Roman" w:cs="Times New Roman"/>
          <w:szCs w:val="24"/>
          <w:lang w:eastAsia="es-CO"/>
        </w:rPr>
      </w:pPr>
      <w:r w:rsidRPr="00B7520B">
        <w:rPr>
          <w:rFonts w:eastAsia="Times New Roman" w:cs="Times New Roman"/>
          <w:b/>
          <w:bCs/>
          <w:i/>
          <w:iCs/>
          <w:szCs w:val="24"/>
          <w:lang w:eastAsia="es-CO"/>
        </w:rPr>
        <w:t>4. “</w:t>
      </w:r>
      <w:proofErr w:type="gramStart"/>
      <w:r w:rsidRPr="00B7520B">
        <w:rPr>
          <w:rFonts w:eastAsia="Times New Roman" w:cs="Times New Roman"/>
          <w:b/>
          <w:bCs/>
          <w:i/>
          <w:iCs/>
          <w:szCs w:val="24"/>
          <w:lang w:eastAsia="es-CO"/>
        </w:rPr>
        <w:t>En caso que</w:t>
      </w:r>
      <w:proofErr w:type="gramEnd"/>
      <w:r w:rsidRPr="00B7520B">
        <w:rPr>
          <w:rFonts w:eastAsia="Times New Roman" w:cs="Times New Roman"/>
          <w:b/>
          <w:bCs/>
          <w:i/>
          <w:iCs/>
          <w:szCs w:val="24"/>
          <w:lang w:eastAsia="es-CO"/>
        </w:rPr>
        <w:t xml:space="preserve"> la respuesta sea que se debe registrar el representante legal de la sociedad Colombiana ¿se debe reportar al representante legal principal? Y ¿a todos sus suplentes? ¿A todos ellos? ¿o Solo a algunos?”</w:t>
      </w:r>
    </w:p>
    <w:p w14:paraId="048FB949"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b/>
          <w:bCs/>
          <w:i/>
          <w:iCs/>
          <w:szCs w:val="24"/>
          <w:lang w:eastAsia="es-CO"/>
        </w:rPr>
        <w:t> </w:t>
      </w:r>
    </w:p>
    <w:p w14:paraId="18C3C73D"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Por favor remítase a la respuesta del numeral 2.</w:t>
      </w:r>
    </w:p>
    <w:p w14:paraId="29BF3EF6"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28DF2801" w14:textId="77777777" w:rsidR="00B7520B" w:rsidRPr="00B7520B" w:rsidRDefault="00B7520B" w:rsidP="00B7520B">
      <w:pPr>
        <w:shd w:val="clear" w:color="auto" w:fill="FFFFFF"/>
        <w:spacing w:after="0" w:line="360" w:lineRule="auto"/>
        <w:ind w:left="284"/>
        <w:jc w:val="both"/>
        <w:rPr>
          <w:rFonts w:eastAsia="Times New Roman" w:cs="Times New Roman"/>
          <w:szCs w:val="24"/>
          <w:lang w:eastAsia="es-CO"/>
        </w:rPr>
      </w:pPr>
      <w:r w:rsidRPr="00B7520B">
        <w:rPr>
          <w:rFonts w:eastAsia="Times New Roman" w:cs="Times New Roman"/>
          <w:b/>
          <w:bCs/>
          <w:i/>
          <w:iCs/>
          <w:szCs w:val="24"/>
          <w:lang w:eastAsia="es-CO"/>
        </w:rPr>
        <w:t>5. “¿Para el caso de una sociedad que cotiza en bolsa, en la que, se negocian constantemente sus acciones en el mercado público de valores, y, por tanto, cambian de propietario con bastante rapidez, ¿cómo se debe efectuar el registro de dicha información en el RUB?”</w:t>
      </w:r>
    </w:p>
    <w:p w14:paraId="140E7087"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b/>
          <w:bCs/>
          <w:i/>
          <w:iCs/>
          <w:szCs w:val="24"/>
          <w:lang w:eastAsia="es-CO"/>
        </w:rPr>
        <w:t> </w:t>
      </w:r>
    </w:p>
    <w:p w14:paraId="08FFAD6F"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Por favor remítase a la respuesta del numeral 1.</w:t>
      </w:r>
    </w:p>
    <w:p w14:paraId="53AD2C40"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70721B15"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p>
    <w:p w14:paraId="2AF4948D" w14:textId="32012195"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03F3A6B7"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Atentamente,</w:t>
      </w:r>
    </w:p>
    <w:p w14:paraId="354F6484"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41CFF1F9"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 </w:t>
      </w:r>
    </w:p>
    <w:p w14:paraId="6182A503"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b/>
          <w:bCs/>
          <w:szCs w:val="24"/>
          <w:lang w:eastAsia="es-CO"/>
        </w:rPr>
        <w:t>NICOLÁS BERNAL ABELLA</w:t>
      </w:r>
    </w:p>
    <w:p w14:paraId="6C014FD6"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Subdirector de Normativa y Doctrina (E)</w:t>
      </w:r>
    </w:p>
    <w:p w14:paraId="0960A63A"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Dirección de Gestión Jurídica</w:t>
      </w:r>
    </w:p>
    <w:p w14:paraId="5BD5BEAF" w14:textId="77777777" w:rsidR="00B7520B" w:rsidRPr="00B7520B" w:rsidRDefault="00B7520B" w:rsidP="00B7520B">
      <w:pPr>
        <w:shd w:val="clear" w:color="auto" w:fill="FFFFFF"/>
        <w:spacing w:after="0" w:line="360" w:lineRule="auto"/>
        <w:jc w:val="both"/>
        <w:rPr>
          <w:rFonts w:eastAsia="Times New Roman" w:cs="Times New Roman"/>
          <w:szCs w:val="24"/>
          <w:lang w:eastAsia="es-CO"/>
        </w:rPr>
      </w:pPr>
      <w:r w:rsidRPr="00B7520B">
        <w:rPr>
          <w:rFonts w:eastAsia="Times New Roman" w:cs="Times New Roman"/>
          <w:szCs w:val="24"/>
          <w:lang w:eastAsia="es-CO"/>
        </w:rPr>
        <w:t>UAE-Dirección de Impuestos y Aduanas Nacionales</w:t>
      </w:r>
    </w:p>
    <w:p w14:paraId="79DE2FC2" w14:textId="77777777" w:rsidR="007F5CC8" w:rsidRPr="00B7520B" w:rsidRDefault="007F5CC8" w:rsidP="00B7520B">
      <w:pPr>
        <w:spacing w:line="360" w:lineRule="auto"/>
        <w:rPr>
          <w:rFonts w:cs="Times New Roman"/>
          <w:szCs w:val="24"/>
        </w:rPr>
      </w:pPr>
    </w:p>
    <w:sectPr w:rsidR="007F5CC8" w:rsidRPr="00B7520B"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0B"/>
    <w:rsid w:val="000F3837"/>
    <w:rsid w:val="001E311E"/>
    <w:rsid w:val="00434AE6"/>
    <w:rsid w:val="007F5CC8"/>
    <w:rsid w:val="008779BE"/>
    <w:rsid w:val="00B7520B"/>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6EB8"/>
  <w15:chartTrackingRefBased/>
  <w15:docId w15:val="{C9C9A12A-1590-4F0E-A76B-F3C196FB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8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5456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2022-07-20T01:17:00Z</dcterms:created>
  <dcterms:modified xsi:type="dcterms:W3CDTF">2022-07-20T01:19:00Z</dcterms:modified>
</cp:coreProperties>
</file>